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ZJU-SBBJBF-2023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1106</w:t>
      </w:r>
    </w:p>
    <w:p>
      <w:pPr>
        <w:rPr>
          <w:sz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  <w:bookmarkStart w:id="0" w:name="_GoBack"/>
      <w:bookmarkEnd w:id="0"/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B3D350D"/>
    <w:rsid w:val="1CC43F08"/>
    <w:rsid w:val="4288602C"/>
    <w:rsid w:val="4A711925"/>
    <w:rsid w:val="541D4698"/>
    <w:rsid w:val="6ACF6E6E"/>
    <w:rsid w:val="7D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2023-11-06T01:42:52Z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456F043F0FBC418FB21824D5175A736A_12</vt:lpwstr>
  </property>
</Properties>
</file>